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274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  <w:bookmarkStart w:id="0" w:name="block-21792997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-438150</wp:posOffset>
            </wp:positionH>
            <wp:positionV relativeFrom="paragraph">
              <wp:posOffset>-342900</wp:posOffset>
            </wp:positionV>
            <wp:extent cx="6353175" cy="8924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9249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1792998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1 «Народная музыка России»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Край, в котором ты живёшь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Русский фольклор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народные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Сказки, мифы и легенды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Жанры музыкального фольклора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Первые артисты, народный театр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народов России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в творчестве профессиональных музыкантов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 – исполнитель – слушатель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Композиторы – детям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Оркестр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Фортепиано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Флейта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Скрипка, виолончель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Вокальная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Симфоническая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Европейские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Мастерство исполнителя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3 «Музыка в жизни человека»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Красота и вдохновение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пейзажи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портреты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Какой же праздник без музыки?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Танцы, игры и веселье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на войне, музыка о войне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Главный музыкальный символ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времени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4 «Музыка народов мира»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Певец своего народа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Музыка стран ближнего зарубежья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стран дальнего зарубежья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Диалог культур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Звучание храма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Песни верующих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 в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Русской православной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Религиозные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6 «Музыка театра и кино»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сказка на сцене, на экране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Театр оперы и балета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Балет. Хореография – искусство танца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Опера. Главные герои и номера оперного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Сюжет музыкального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Оперетта, мюзикл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Кто создаёт музыкальный спектакль?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Патриотическая и народная тема в театре и кино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7 «Современная музыкальная культура»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Современные обработки классической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Джаз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Исполнители современной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Электронные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8 «Музыкальная грамота»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Весь мир звучит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Звукоряд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Интонация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Ритмический рисунок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Размер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Музыкальный язык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Высота звуков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Мелодия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Сопровождение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Лад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Пентатоника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Ноты в разных октавах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Дополнительные обозначения в нотах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Ритмические рисунки в размере 6/8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Тональность. Гамма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Интервалы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Гармония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форма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Вариации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1792999"/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 области духовно-нравственного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в области эстетического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4) в области научного познания: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в области трудового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в области экологического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after="0" w:beforeAutospacing="0" w:afterAutospacing="0"/>
        <w:ind w:left="120"/>
      </w:pPr>
      <w:bookmarkStart w:id="3" w:name="_Toc139972685"/>
      <w:bookmarkEnd w:id="3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невербальная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совместная деятельность (сотрудничество):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 w:beforeAutospacing="0" w:afterAutospacing="0"/>
        <w:ind w:left="120"/>
      </w:pPr>
      <w:bookmarkStart w:id="4" w:name="_Toc139972686"/>
      <w:bookmarkEnd w:id="4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2"/>
      <w:bookmarkStart w:id="5" w:name="block-21793000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5"/>
      <w:bookmarkStart w:id="6" w:name="block-21793001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"https://m.edsoo.ru/f5e99484"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https://m.edsoo.ru/f5e99484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"https://m.edsoo.ru/f5e98bb0"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https://m.edsoo.ru/f5e98bb0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"https://m.edsoo.ru/f5e942cc"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https://m.edsoo.ru/f5e942cc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"https://m.edsoo.ru/f5e99ad8"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https://m.edsoo.ru/f5e99ad8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"https://m.edsoo.ru/f5e98962"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https://m.edsoo.ru/f5e98962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"https://m.edsoo.ru/f5e93f52"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https://m.edsoo.ru/f5e93f52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"https://m.edsoo.ru/f5e96e50"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https://m.edsoo.ru/f5e96e50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"https://m.edsoo.ru/f5e98d86"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https://m.edsoo.ru/f5e98d86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"https://m.edsoo.ru/f5e95050"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https://m.edsoo.ru/f5e95050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"https://m.edsoo.ru/f5e9a154"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https://m.edsoo.ru/f5e9a154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4894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6"/>
      <w:bookmarkStart w:id="7" w:name="block-21793002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bookmarkStart w:id="8" w:name="0d4d2a67-5837-4252-b43a-95aa3f3876a6"/>
      <w:r>
        <w:rPr>
          <w:rFonts w:ascii="Times New Roman" w:hAnsi="Times New Roman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8"/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Музыка, 4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 w:type="textWrapping"/>
      </w:r>
      <w:bookmarkStart w:id="9" w:name="6c624f83-d6f6-4560-bdb9-085c19f7dab0"/>
      <w:r>
        <w:rPr>
          <w:rFonts w:ascii="Times New Roman" w:hAnsi="Times New Roman"/>
          <w:color w:val="000000"/>
          <w:sz w:val="28"/>
        </w:rPr>
        <w:t xml:space="preserve"> Критская Е.Д., Сергеева Г.П., Шмагина Т.С. Методика работы с учебниками "Музыка". 1-4 классы. - М.: Просвещение. </w:t>
      </w:r>
      <w:bookmarkEnd w:id="9"/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 w:type="textWrapping"/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 xml:space="preserve"> https://m.edsoo.ru/7f412ea4</w:t>
      </w:r>
      <w:bookmarkEnd w:id="10"/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7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365F91"/>
      <w:sz w:val="28"/>
    </w:rPr>
  </w:style>
  <w:style w:type="character" w:styleId="C5">
    <w:name w:val="Заголовок 2 Знак"/>
    <w:basedOn w:val="C0"/>
    <w:link w:val="P2"/>
    <w:rPr>
      <w:b w:val="1"/>
      <w:color w:val="4F81BD"/>
      <w:sz w:val="26"/>
    </w:rPr>
  </w:style>
  <w:style w:type="character" w:styleId="C6">
    <w:name w:val="Заголовок 3 Знак"/>
    <w:basedOn w:val="C0"/>
    <w:link w:val="P3"/>
    <w:rPr>
      <w:b w:val="1"/>
      <w:color w:val="4F81BD"/>
    </w:rPr>
  </w:style>
  <w:style w:type="character" w:styleId="C7">
    <w:name w:val="Заголовок 4 Знак"/>
    <w:basedOn w:val="C0"/>
    <w:link w:val="P4"/>
    <w:rPr>
      <w:b w:val="1"/>
      <w:i w:val="1"/>
      <w:color w:val="4F81BD"/>
    </w:rPr>
  </w:style>
  <w:style w:type="character" w:styleId="C8">
    <w:name w:val="Подзаголовок Знак"/>
    <w:basedOn w:val="C0"/>
    <w:link w:val="P7"/>
    <w:rPr>
      <w:i w:val="1"/>
      <w:color w:val="4F81BD"/>
      <w:sz w:val="24"/>
    </w:rPr>
  </w:style>
  <w:style w:type="character" w:styleId="C9">
    <w:name w:val="Название Знак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